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AF945" w14:textId="77777777" w:rsidR="00710EC7" w:rsidRPr="00710EC7" w:rsidRDefault="00710EC7" w:rsidP="00710EC7">
      <w:pPr>
        <w:rPr>
          <w:lang w:val="ro-RO"/>
        </w:rPr>
      </w:pPr>
      <w:r w:rsidRPr="00710EC7">
        <w:rPr>
          <w:i/>
          <w:iCs/>
          <w:lang w:val="it-IT"/>
        </w:rPr>
        <w:t>“</w:t>
      </w:r>
      <w:r w:rsidRPr="00710EC7">
        <w:rPr>
          <w:i/>
          <w:iCs/>
          <w:lang w:val="ro-RO"/>
        </w:rPr>
        <w:t>În primul rând, numele subsemnatului este inclus în mod complet tendențios în secțiunea privind “Cine sunt personajele principale?”, fără ca Articolul să stabilească, să justifice sau să dovedească în vreun fel vreo participare a subsemnatului la pretinsele acte sau activități ilicite invocate, aspect ce confirmă intenția subsersivă a autorului, ce nu servește aflării adevărului ori interesului public. Dealtfel, subsemnatul nu am derulat activități ilicite, sens în care arăt că și condamnarea emisă de Curtea de Apel București a fost revizuită de către Înalta Curte de Casație și Justiție, care a apreciat, cu titlu definitiv, că </w:t>
      </w:r>
      <w:r w:rsidRPr="00710EC7">
        <w:rPr>
          <w:b/>
          <w:bCs/>
          <w:i/>
          <w:iCs/>
          <w:lang w:val="ro-RO"/>
        </w:rPr>
        <w:t>fapta imputată subsemnatului nu există</w:t>
      </w:r>
      <w:r w:rsidRPr="00710EC7">
        <w:rPr>
          <w:i/>
          <w:iCs/>
          <w:lang w:val="ro-RO"/>
        </w:rPr>
        <w:t>, astfel cum voi arăta în cele ce urmează.</w:t>
      </w:r>
    </w:p>
    <w:p w14:paraId="6199BB42" w14:textId="77777777" w:rsidR="00710EC7" w:rsidRPr="00710EC7" w:rsidRDefault="00710EC7" w:rsidP="00710EC7">
      <w:pPr>
        <w:rPr>
          <w:lang w:val="ro-RO"/>
        </w:rPr>
      </w:pPr>
      <w:r w:rsidRPr="00710EC7">
        <w:rPr>
          <w:i/>
          <w:iCs/>
          <w:lang w:val="ro-RO"/>
        </w:rPr>
        <w:t>În continuare, deși se menționează că „în anul 2000, Fondul Proprietății de Stat (FPS) a vândut majoritatea acțiunilor Practic SA către Andrei Mihai Bejenaru, asociat al unor firme offshore, despre care se presupune că ar fi fost controlate de Puiu Popoviciu”, aspectele faptice prezentate nu sunt reale. În realitate, achiziția realizată de subsemnatul a vizat un pachet de aproximativ 9-10% din acțiunile Practic SA, nicidecum o majoritate a acestora. Mai departe, deși în mod intenționat nu se precizează în Articol care sunt firmele în care aș fi asociat și se emit presupuneri la diateza pasivă cu privire la controlul respectivelor firme, precizez că subsemnatul am avut ulterior anului 2000 calitatea de asociat unic și am exercitat cu responsabilitate și profesionalism controlul în 2 firme având sediul țări din Uniunea Europeană și am deținut acțiuni la societăți listate la Burse internaționale, valori mobiliare achiziționate în mod legal, transparent, în conformitate cu legislația în vigoare. Presupunerile emise în cadrul Articolului, fără vreo sursă obiectivă, nu fac decât să reflecte natura îndoielnică a actului jurnalistic în privința subsemnatului.</w:t>
      </w:r>
    </w:p>
    <w:p w14:paraId="61B1C218" w14:textId="77777777" w:rsidR="00710EC7" w:rsidRPr="00710EC7" w:rsidRDefault="00710EC7" w:rsidP="00710EC7">
      <w:pPr>
        <w:rPr>
          <w:lang w:val="ro-RO"/>
        </w:rPr>
      </w:pPr>
      <w:r w:rsidRPr="00710EC7">
        <w:rPr>
          <w:i/>
          <w:iCs/>
          <w:lang w:val="ro-RO"/>
        </w:rPr>
        <w:t xml:space="preserve">Nici în paragrafele următoare din Articol, imaginea subsemnatului nu este corelată cu realitatea, cât timp se menționează că „achiziția a fost făcută prin negociere directă, fără licitație publică, cu un preț considerat subevaluat, de aproximativ 40.000 de euro, echivalentul de la acel moment al unui apartament obișnuit din centrul Bucureștiului”, în ciuda faptului că achiziția pachetului de acțiuni a fost realizată în conformitate cu prevederile legale în vigoare la acel moment. Achiziția acțiunilor a fost efectuată exclusiv prin mecanisme legale, în conformitate cu dispozițiile legislative aplicabile la acel moment. Nu poate fi reținută calificarea acestei tranzacții ca fiind „o negociere directă” ori „la un preț subevaluat”, atâta vreme cât procedura de vânzare a fost publică. În plus, raportarea valorii unei tranzacții la presupusul preț al unui apartament din centrul Bucureștiului nu are nici relevanță juridică, nici temei economic. Este o comparație forțată și lipsită de criterii obiective, destinată exclusiv să inducă ideea falsă a unei pretinse „subevaluări”, pe care nimeni nu a pretins-o, nu a invocat-o și nu a dovedit-o, nici în cadrul unui proces, nici cu titlu de simplă alegație într-o dispută particulară. Din contră, cât timp tranzacția a fost încheiată iar prețul a fost plătit în mod legal, aparența de drept cu privire la achiziție este în favoarea subsemnatului, astfel încât mențiunea privind subevaluarea acțiunilor nu face </w:t>
      </w:r>
      <w:r w:rsidRPr="00710EC7">
        <w:rPr>
          <w:i/>
          <w:iCs/>
          <w:lang w:val="ro-RO"/>
        </w:rPr>
        <w:lastRenderedPageBreak/>
        <w:t>decât să dezonoreze jurnalistul și publicația care o expune fără vreun temei și fără o sursă veridică.</w:t>
      </w:r>
    </w:p>
    <w:p w14:paraId="7B6FFADE" w14:textId="77777777" w:rsidR="00710EC7" w:rsidRPr="00710EC7" w:rsidRDefault="00710EC7" w:rsidP="00710EC7">
      <w:r w:rsidRPr="00710EC7">
        <w:rPr>
          <w:i/>
          <w:iCs/>
          <w:lang w:val="ro-RO"/>
        </w:rPr>
        <w:t>Nici în privința pretinsei calități a subsemnatului de „fost director în cadrul Universității de Științe Agronomice și Medicină Veterinară (USAMV) din București”, Articolul nu este documentat, cât timp subsemnatul nu am avut niciodată o astfel de calitate în cadrul USAMV. Situarea temporală a pretinsului “scandal de corupție” este eronată, dat fiind că în perioada 2000-2004 subsemnatul nu am fost implicat în nicio activitate dezbătută public, de tipul celei semnalate în mod distorsionat. De asemenea, deși se invocă tendențios asocierea mea cu fapte de “corupție” reglementate de Titlul V Capitolul I din Codul Penal, abuzul în serviciu, faptă pentru care am fost cercetat și </w:t>
      </w:r>
      <w:r w:rsidRPr="00710EC7">
        <w:rPr>
          <w:b/>
          <w:bCs/>
          <w:i/>
          <w:iCs/>
          <w:lang w:val="ro-RO"/>
        </w:rPr>
        <w:t>achitat pe motiv că fapta nu există</w:t>
      </w:r>
      <w:r w:rsidRPr="00710EC7">
        <w:rPr>
          <w:i/>
          <w:iCs/>
          <w:lang w:val="ro-RO"/>
        </w:rPr>
        <w:t>, constituie o altă infracțiune, din categoria infracțiunilor de serviciu, reglementate de Titlul V Capitolul II din Codul Penal, nefăcând parte din categoria faptelor de corupție stipulate în Codul Penal.</w:t>
      </w:r>
    </w:p>
    <w:p w14:paraId="11F802EC" w14:textId="77777777" w:rsidR="00710EC7" w:rsidRPr="00710EC7" w:rsidRDefault="00710EC7" w:rsidP="00710EC7">
      <w:r w:rsidRPr="00710EC7">
        <w:rPr>
          <w:i/>
          <w:iCs/>
          <w:lang w:val="ro-RO"/>
        </w:rPr>
        <w:t>Mai departe, în aceste paragrafe se omite cu bună știință sublinierea faptului esențial că, prin Decizia nr. 7 din 15.01.2025, în cadrul revizuirii, </w:t>
      </w:r>
      <w:r w:rsidRPr="00710EC7">
        <w:rPr>
          <w:b/>
          <w:bCs/>
          <w:i/>
          <w:iCs/>
          <w:lang w:val="ro-RO"/>
        </w:rPr>
        <w:t>Înalta Curte de Casație și Justiție</w:t>
      </w:r>
      <w:bookmarkStart w:id="0" w:name="x__ftnref1"/>
      <w:r w:rsidRPr="00710EC7">
        <w:rPr>
          <w:b/>
          <w:bCs/>
          <w:i/>
          <w:iCs/>
          <w:lang w:val="ro-RO"/>
        </w:rPr>
        <w:fldChar w:fldCharType="begin"/>
      </w:r>
      <w:r w:rsidRPr="00710EC7">
        <w:rPr>
          <w:b/>
          <w:bCs/>
          <w:i/>
          <w:iCs/>
          <w:lang w:val="ro-RO"/>
        </w:rPr>
        <w:instrText>HYPERLINK "https://outlook.office.com/mail/inbox/id/AAQkADJlZjgxZTk3LTZlYTUtNDZiMy05YTQ5LTNiOGJhODEyNGI5NwAQADid545jbUY9g5vFMIEBjHk%3D" \l "_ftn1" \o "#_ftn1"</w:instrText>
      </w:r>
      <w:r w:rsidRPr="00710EC7">
        <w:rPr>
          <w:b/>
          <w:bCs/>
          <w:i/>
          <w:iCs/>
          <w:lang w:val="ro-RO"/>
        </w:rPr>
      </w:r>
      <w:r w:rsidRPr="00710EC7">
        <w:rPr>
          <w:b/>
          <w:bCs/>
          <w:i/>
          <w:iCs/>
          <w:lang w:val="ro-RO"/>
        </w:rPr>
        <w:fldChar w:fldCharType="separate"/>
      </w:r>
      <w:r w:rsidRPr="00710EC7">
        <w:rPr>
          <w:rStyle w:val="Hyperlink"/>
          <w:b/>
          <w:bCs/>
          <w:i/>
          <w:iCs/>
          <w:vertAlign w:val="superscript"/>
          <w:lang w:val="ro-RO"/>
        </w:rPr>
        <w:t>[1]</w:t>
      </w:r>
      <w:r w:rsidRPr="00710EC7">
        <w:fldChar w:fldCharType="end"/>
      </w:r>
      <w:bookmarkEnd w:id="0"/>
      <w:r w:rsidRPr="00710EC7">
        <w:rPr>
          <w:b/>
          <w:bCs/>
          <w:i/>
          <w:iCs/>
          <w:lang w:val="ro-RO"/>
        </w:rPr>
        <w:t> a dispus desființarea hotărârii de condamnare anterior pronunțată, prin</w:t>
      </w:r>
      <w:r w:rsidRPr="00710EC7">
        <w:rPr>
          <w:i/>
          <w:iCs/>
          <w:lang w:val="ro-RO"/>
        </w:rPr>
        <w:t> </w:t>
      </w:r>
      <w:r w:rsidRPr="00710EC7">
        <w:rPr>
          <w:b/>
          <w:bCs/>
          <w:i/>
          <w:iCs/>
          <w:lang w:val="ro-RO"/>
        </w:rPr>
        <w:t>achitarea subsemnatului pe motiv că fapta nu există</w:t>
      </w:r>
      <w:r w:rsidRPr="00710EC7">
        <w:rPr>
          <w:i/>
          <w:iCs/>
          <w:lang w:val="ro-RO"/>
        </w:rPr>
        <w:t>. În consecință, orice referire din Articol la o așa-zisă condamnare definitivă sau la implicarea mea într-un „scandal de corupție” este inexactă, neîntemeiată și contravine realității juridice, demonstrate prin Decizia ÎCCJ.</w:t>
      </w:r>
    </w:p>
    <w:p w14:paraId="7294DD57" w14:textId="77777777" w:rsidR="00710EC7" w:rsidRPr="00710EC7" w:rsidRDefault="00710EC7" w:rsidP="00710EC7">
      <w:r w:rsidRPr="00710EC7">
        <w:rPr>
          <w:i/>
          <w:iCs/>
          <w:lang w:val="ro-RO"/>
        </w:rPr>
        <w:t>Utilizarea, cu referire la subsemnatul, în cadrul Articolului a unor formulări precum „scandal de corupție”, „subevaluat” sau „asociat offshore” reprezintă elemente de limbaj încărcate emoțional, fără substrat real, menite să construiască artificial o imagine negativă, în lipsa unor probe obiective și a unei documentări suficiente față de activitatea și persoana subsemnatului”.</w:t>
      </w:r>
    </w:p>
    <w:p w14:paraId="53FC48FE" w14:textId="77777777" w:rsidR="00710EC7" w:rsidRPr="00710EC7" w:rsidRDefault="00710EC7" w:rsidP="00710EC7">
      <w:r w:rsidRPr="00710EC7">
        <w:rPr>
          <w:i/>
          <w:iCs/>
          <w:lang w:val="ro-RO"/>
        </w:rPr>
        <w:t> </w:t>
      </w:r>
    </w:p>
    <w:p w14:paraId="108911D1" w14:textId="77777777" w:rsidR="00710EC7" w:rsidRPr="00710EC7" w:rsidRDefault="00710EC7" w:rsidP="00710EC7">
      <w:r w:rsidRPr="00710EC7">
        <w:rPr>
          <w:lang w:val="ro-RO"/>
        </w:rPr>
        <w:t>În plus, vă rugăm să aveți în vedere </w:t>
      </w:r>
      <w:r w:rsidRPr="00710EC7">
        <w:rPr>
          <w:b/>
          <w:bCs/>
          <w:lang w:val="ro-RO"/>
        </w:rPr>
        <w:t>Comunicatul DNA emis în 2025</w:t>
      </w:r>
      <w:r w:rsidRPr="00710EC7">
        <w:rPr>
          <w:lang w:val="ro-RO"/>
        </w:rPr>
        <w:t>, menționat și în Notificare, disponibil la </w:t>
      </w:r>
      <w:hyperlink r:id="rId4" w:tgtFrame="_blank" w:tooltip="https://cas5-0-urlprotect.trendmicro.com:443/wis/clicktime/v1/query?url=https%3a%2f%2fwww.dna.ro%2fcomunicat.xhtml%3fid%3d8329&amp;umid=37e7e806-fd15-4408-b81d-d23a45d268ac&amp;rct=1758356138&amp;auth=46a1f23b31ad4d906c7168e0690ac7e1cc74e87d-2e8ec439db6b2fc305c65be61074f368abea432f" w:history="1">
        <w:r w:rsidRPr="00710EC7">
          <w:rPr>
            <w:rStyle w:val="Hyperlink"/>
            <w:lang w:val="ro-RO"/>
          </w:rPr>
          <w:t>https://www.dna.ro/comunicat.xhtml?id=8329</w:t>
        </w:r>
      </w:hyperlink>
      <w:r w:rsidRPr="00710EC7">
        <w:rPr>
          <w:lang w:val="ro-RO"/>
        </w:rPr>
        <w:t>, care confirmă cele expuse în Notificare, legate de </w:t>
      </w:r>
      <w:r w:rsidRPr="00710EC7">
        <w:rPr>
          <w:b/>
          <w:bCs/>
          <w:lang w:val="ro-RO"/>
        </w:rPr>
        <w:t>inexistența faptei</w:t>
      </w:r>
      <w:r w:rsidRPr="00710EC7">
        <w:rPr>
          <w:lang w:val="ro-RO"/>
        </w:rPr>
        <w:t> și față de care frazele din Articol sunt inexacte și vădit tendențioase la adresa dlui. Bejenaru. Așadar, când achitarea se întemeiază pe “fapta nu există”, toate extrasele din rechizitoriul Parchetului prezentate în presă sau opiniile personale izvorând din acesta nu pot constitui veritabile surse corecte, care să susțină o situație de fapt reală, întrucât a intervenit Decizia ICCJ. Pentru explicații juridice privind însemnătatea și interpretarea deciziei de revizuire a ÎCCJ conform Comunicatului DNA din 2025, puteți consulta surse juridice sau un avocat.</w:t>
      </w:r>
    </w:p>
    <w:p w14:paraId="757D34B9" w14:textId="77777777" w:rsidR="00710EC7" w:rsidRPr="00710EC7" w:rsidRDefault="00710EC7" w:rsidP="00710EC7">
      <w:r w:rsidRPr="00710EC7">
        <w:rPr>
          <w:lang w:val="ro-RO"/>
        </w:rPr>
        <w:t> </w:t>
      </w:r>
    </w:p>
    <w:p w14:paraId="5F5C8714" w14:textId="77777777" w:rsidR="00710EC7" w:rsidRPr="00710EC7" w:rsidRDefault="00710EC7" w:rsidP="00710EC7">
      <w:r w:rsidRPr="00710EC7">
        <w:rPr>
          <w:lang w:val="ro-RO"/>
        </w:rPr>
        <w:lastRenderedPageBreak/>
        <w:t>De asemenea, vă rugăm să respectați principiile de publicare ale RFE/RL, respectiv acuratețea, imparțialitatea, moderația, evitarea atitudinii părtinitoare și etica profesională, care, prin modul în care vă referiți la dl. Bejenaru Andrei Mihai în Articolul disputat, nu sunt respectate.</w:t>
      </w:r>
    </w:p>
    <w:p w14:paraId="7BB6FD6D" w14:textId="77777777" w:rsidR="00710EC7" w:rsidRPr="00710EC7" w:rsidRDefault="00710EC7" w:rsidP="00710EC7">
      <w:r w:rsidRPr="00710EC7">
        <w:rPr>
          <w:lang w:val="ro-RO"/>
        </w:rPr>
        <w:t> </w:t>
      </w:r>
    </w:p>
    <w:p w14:paraId="362545C5" w14:textId="77777777" w:rsidR="00710EC7" w:rsidRPr="00710EC7" w:rsidRDefault="00710EC7" w:rsidP="00710EC7">
      <w:r w:rsidRPr="00710EC7">
        <w:rPr>
          <w:lang w:val="ro-RO"/>
        </w:rPr>
        <w:t>Nu în ultimul rând, pentru verificarea informațiilor expuse în mod distorsionat în cadrul Articolului, nu ați solicitat anterior punctul de vedere dlui. Bejenaru Andrei Mihai, alegând să propagați în mediul public informații inexacte, distorsionate și ce nu sunt de interes public, fapt ce constituie o încălcare a dreptului său la viața privată, reputație și demnitate.</w:t>
      </w:r>
    </w:p>
    <w:p w14:paraId="4EF2641E" w14:textId="77777777" w:rsidR="00710EC7" w:rsidRPr="00710EC7" w:rsidRDefault="00710EC7" w:rsidP="00710EC7">
      <w:r w:rsidRPr="00710EC7">
        <w:rPr>
          <w:lang w:val="ro-RO"/>
        </w:rPr>
        <w:t> </w:t>
      </w:r>
    </w:p>
    <w:p w14:paraId="43F7ACAA" w14:textId="77777777" w:rsidR="00710EC7" w:rsidRPr="00710EC7" w:rsidRDefault="00710EC7" w:rsidP="00710EC7">
      <w:r w:rsidRPr="00710EC7">
        <w:rPr>
          <w:lang w:val="ro-RO"/>
        </w:rPr>
        <w:t>Așadar, vă reiterăm solicitarea amiabilă de a înlătura mențiunile referitoare la dl. Bejenaru Andrei Mihai din Articolul prezentat, ca fiind inexacte, tendențioase și încălcând Regulamentul GDPR și vă mulțumim!</w:t>
      </w:r>
    </w:p>
    <w:p w14:paraId="0FA7C077" w14:textId="77777777" w:rsidR="00710EC7" w:rsidRPr="00710EC7" w:rsidRDefault="00710EC7" w:rsidP="00710EC7">
      <w:r w:rsidRPr="00710EC7">
        <w:rPr>
          <w:lang w:val="ro-RO"/>
        </w:rPr>
        <w:t> </w:t>
      </w:r>
    </w:p>
    <w:p w14:paraId="318F4C61" w14:textId="77777777" w:rsidR="00710EC7" w:rsidRPr="00710EC7" w:rsidRDefault="00710EC7" w:rsidP="00710EC7">
      <w:r w:rsidRPr="00710EC7">
        <w:rPr>
          <w:lang w:val="ro-RO"/>
        </w:rPr>
        <w:t>Cu stimă,</w:t>
      </w:r>
    </w:p>
    <w:p w14:paraId="6171F316" w14:textId="77777777" w:rsidR="00710EC7" w:rsidRPr="00710EC7" w:rsidRDefault="00710EC7" w:rsidP="00710EC7">
      <w:r w:rsidRPr="00710EC7">
        <w:rPr>
          <w:b/>
          <w:bCs/>
          <w:lang w:val="ro-RO"/>
        </w:rPr>
        <w:t>Bejenaru Mihai Andrei,</w:t>
      </w:r>
    </w:p>
    <w:p w14:paraId="6B8788A1" w14:textId="77777777" w:rsidR="00710EC7" w:rsidRPr="00710EC7" w:rsidRDefault="00710EC7" w:rsidP="00710EC7">
      <w:r w:rsidRPr="00710EC7">
        <w:rPr>
          <w:lang w:val="ro-RO"/>
        </w:rPr>
        <w:t>Prin SPRL Stratulat Albulescu</w:t>
      </w:r>
    </w:p>
    <w:p w14:paraId="70B93C86" w14:textId="77777777" w:rsidR="00710EC7" w:rsidRDefault="00710EC7"/>
    <w:sectPr w:rsidR="00710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EC7"/>
    <w:rsid w:val="00710EC7"/>
    <w:rsid w:val="007F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F116"/>
  <w15:chartTrackingRefBased/>
  <w15:docId w15:val="{ACC98A91-F94E-4360-8A41-E45FA22F7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0E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E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E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E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E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E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E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E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E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E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0E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0E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0E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0E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0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0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0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0EC7"/>
    <w:rPr>
      <w:rFonts w:eastAsiaTheme="majorEastAsia" w:cstheme="majorBidi"/>
      <w:color w:val="272727" w:themeColor="text1" w:themeTint="D8"/>
    </w:rPr>
  </w:style>
  <w:style w:type="paragraph" w:styleId="Title">
    <w:name w:val="Title"/>
    <w:basedOn w:val="Normal"/>
    <w:next w:val="Normal"/>
    <w:link w:val="TitleChar"/>
    <w:uiPriority w:val="10"/>
    <w:qFormat/>
    <w:rsid w:val="00710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0E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0EC7"/>
    <w:pPr>
      <w:spacing w:before="160"/>
      <w:jc w:val="center"/>
    </w:pPr>
    <w:rPr>
      <w:i/>
      <w:iCs/>
      <w:color w:val="404040" w:themeColor="text1" w:themeTint="BF"/>
    </w:rPr>
  </w:style>
  <w:style w:type="character" w:customStyle="1" w:styleId="QuoteChar">
    <w:name w:val="Quote Char"/>
    <w:basedOn w:val="DefaultParagraphFont"/>
    <w:link w:val="Quote"/>
    <w:uiPriority w:val="29"/>
    <w:rsid w:val="00710EC7"/>
    <w:rPr>
      <w:i/>
      <w:iCs/>
      <w:color w:val="404040" w:themeColor="text1" w:themeTint="BF"/>
    </w:rPr>
  </w:style>
  <w:style w:type="paragraph" w:styleId="ListParagraph">
    <w:name w:val="List Paragraph"/>
    <w:basedOn w:val="Normal"/>
    <w:uiPriority w:val="34"/>
    <w:qFormat/>
    <w:rsid w:val="00710EC7"/>
    <w:pPr>
      <w:ind w:left="720"/>
      <w:contextualSpacing/>
    </w:pPr>
  </w:style>
  <w:style w:type="character" w:styleId="IntenseEmphasis">
    <w:name w:val="Intense Emphasis"/>
    <w:basedOn w:val="DefaultParagraphFont"/>
    <w:uiPriority w:val="21"/>
    <w:qFormat/>
    <w:rsid w:val="00710EC7"/>
    <w:rPr>
      <w:i/>
      <w:iCs/>
      <w:color w:val="0F4761" w:themeColor="accent1" w:themeShade="BF"/>
    </w:rPr>
  </w:style>
  <w:style w:type="paragraph" w:styleId="IntenseQuote">
    <w:name w:val="Intense Quote"/>
    <w:basedOn w:val="Normal"/>
    <w:next w:val="Normal"/>
    <w:link w:val="IntenseQuoteChar"/>
    <w:uiPriority w:val="30"/>
    <w:qFormat/>
    <w:rsid w:val="00710E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EC7"/>
    <w:rPr>
      <w:i/>
      <w:iCs/>
      <w:color w:val="0F4761" w:themeColor="accent1" w:themeShade="BF"/>
    </w:rPr>
  </w:style>
  <w:style w:type="character" w:styleId="IntenseReference">
    <w:name w:val="Intense Reference"/>
    <w:basedOn w:val="DefaultParagraphFont"/>
    <w:uiPriority w:val="32"/>
    <w:qFormat/>
    <w:rsid w:val="00710EC7"/>
    <w:rPr>
      <w:b/>
      <w:bCs/>
      <w:smallCaps/>
      <w:color w:val="0F4761" w:themeColor="accent1" w:themeShade="BF"/>
      <w:spacing w:val="5"/>
    </w:rPr>
  </w:style>
  <w:style w:type="character" w:styleId="Hyperlink">
    <w:name w:val="Hyperlink"/>
    <w:basedOn w:val="DefaultParagraphFont"/>
    <w:uiPriority w:val="99"/>
    <w:unhideWhenUsed/>
    <w:rsid w:val="00710EC7"/>
    <w:rPr>
      <w:color w:val="467886" w:themeColor="hyperlink"/>
      <w:u w:val="single"/>
    </w:rPr>
  </w:style>
  <w:style w:type="character" w:styleId="UnresolvedMention">
    <w:name w:val="Unresolved Mention"/>
    <w:basedOn w:val="DefaultParagraphFont"/>
    <w:uiPriority w:val="99"/>
    <w:semiHidden/>
    <w:unhideWhenUsed/>
    <w:rsid w:val="00710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4107">
      <w:bodyDiv w:val="1"/>
      <w:marLeft w:val="0"/>
      <w:marRight w:val="0"/>
      <w:marTop w:val="0"/>
      <w:marBottom w:val="0"/>
      <w:divBdr>
        <w:top w:val="none" w:sz="0" w:space="0" w:color="auto"/>
        <w:left w:val="none" w:sz="0" w:space="0" w:color="auto"/>
        <w:bottom w:val="none" w:sz="0" w:space="0" w:color="auto"/>
        <w:right w:val="none" w:sz="0" w:space="0" w:color="auto"/>
      </w:divBdr>
    </w:div>
    <w:div w:id="178784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as5-0-urlprotect.trendmicro.com/wis/clicktime/v1/query?url=https%3a%2f%2fwww.dna.ro%2fcomunicat.xhtml%3fid%3d8329&amp;umid=37e7e806-fd15-4408-b81d-d23a45d268ac&amp;rct=1758356138&amp;auth=46a1f23b31ad4d906c7168e0690ac7e1cc74e87d-2e8ec439db6b2fc305c65be61074f368abea43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6598</Characters>
  <Application>Microsoft Office Word</Application>
  <DocSecurity>0</DocSecurity>
  <Lines>54</Lines>
  <Paragraphs>15</Paragraphs>
  <ScaleCrop>false</ScaleCrop>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Simona-Teodora Carlugea</dc:creator>
  <cp:keywords/>
  <dc:description/>
  <cp:lastModifiedBy>Simona-Teodora Carlugea</cp:lastModifiedBy>
  <cp:revision>1</cp:revision>
  <dcterms:created xsi:type="dcterms:W3CDTF">2025-09-22T07:59:00Z</dcterms:created>
  <dcterms:modified xsi:type="dcterms:W3CDTF">2025-09-22T07:59:00Z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ba20b7-fd69-45ef-ad27-14f35432bbed_Enabled">
    <vt:lpwstr>true</vt:lpwstr>
  </property>
  <property fmtid="{D5CDD505-2E9C-101B-9397-08002B2CF9AE}" pid="3" name="MSIP_Label_ecba20b7-fd69-45ef-ad27-14f35432bbed_SetDate">
    <vt:lpwstr>2025-09-22T07:59:30Z</vt:lpwstr>
  </property>
  <property fmtid="{D5CDD505-2E9C-101B-9397-08002B2CF9AE}" pid="4" name="MSIP_Label_ecba20b7-fd69-45ef-ad27-14f35432bbed_Method">
    <vt:lpwstr>Standard</vt:lpwstr>
  </property>
  <property fmtid="{D5CDD505-2E9C-101B-9397-08002B2CF9AE}" pid="5" name="MSIP_Label_ecba20b7-fd69-45ef-ad27-14f35432bbed_Name">
    <vt:lpwstr>Internal</vt:lpwstr>
  </property>
  <property fmtid="{D5CDD505-2E9C-101B-9397-08002B2CF9AE}" pid="6" name="MSIP_Label_ecba20b7-fd69-45ef-ad27-14f35432bbed_SiteId">
    <vt:lpwstr>c668df98-8b26-46ca-a8dd-3362c691f780</vt:lpwstr>
  </property>
  <property fmtid="{D5CDD505-2E9C-101B-9397-08002B2CF9AE}" pid="7" name="MSIP_Label_ecba20b7-fd69-45ef-ad27-14f35432bbed_ActionId">
    <vt:lpwstr>05fc7577-e501-4500-9cc7-08bd0335b434</vt:lpwstr>
  </property>
  <property fmtid="{D5CDD505-2E9C-101B-9397-08002B2CF9AE}" pid="8" name="MSIP_Label_ecba20b7-fd69-45ef-ad27-14f35432bbed_ContentBits">
    <vt:lpwstr>0</vt:lpwstr>
  </property>
  <property fmtid="{D5CDD505-2E9C-101B-9397-08002B2CF9AE}" pid="9" name="MSIP_Label_ecba20b7-fd69-45ef-ad27-14f35432bbed_Tag">
    <vt:lpwstr>10, 3, 0, 1</vt:lpwstr>
  </property>
</Properties>
</file>